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2017年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zh-CN"/>
        </w:rPr>
        <w:t>“青马工程”暨大学生骨干培训班培养对象登记表</w:t>
      </w:r>
    </w:p>
    <w:tbl>
      <w:tblPr>
        <w:tblStyle w:val="7"/>
        <w:tblW w:w="8989" w:type="dxa"/>
        <w:jc w:val="center"/>
        <w:tblInd w:w="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55"/>
        <w:gridCol w:w="1875"/>
        <w:gridCol w:w="805"/>
        <w:gridCol w:w="620"/>
        <w:gridCol w:w="280"/>
        <w:gridCol w:w="202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插入近期一寸免冠蓝底彩色照片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汉族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1999.01</w:t>
            </w:r>
          </w:p>
        </w:tc>
        <w:tc>
          <w:tcPr>
            <w:tcW w:w="1671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手机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 号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博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13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所任职务</w:t>
            </w:r>
            <w:r>
              <w:rPr>
                <w:rFonts w:hint="eastAsia"/>
                <w:sz w:val="24"/>
                <w:lang w:eastAsia="zh-CN"/>
              </w:rPr>
              <w:t>（时间）</w:t>
            </w:r>
          </w:p>
        </w:tc>
        <w:tc>
          <w:tcPr>
            <w:tcW w:w="54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青年志愿者协会分会长（</w:t>
            </w:r>
            <w:r>
              <w:rPr>
                <w:rFonts w:hint="eastAsia"/>
                <w:sz w:val="24"/>
                <w:lang w:val="en-US" w:eastAsia="zh-CN"/>
              </w:rPr>
              <w:t>2017.11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58" w:type="dxa"/>
            <w:vAlign w:val="top"/>
          </w:tcPr>
          <w:p>
            <w:pPr>
              <w:spacing w:line="4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031" w:type="dxa"/>
            <w:gridSpan w:val="7"/>
            <w:vAlign w:val="top"/>
          </w:tcPr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2000.09-2006.06  郑州市豫龙镇小学</w:t>
            </w: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2000.09-2006.06  郑州市豫龙镇初学</w:t>
            </w: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2000.09-2006.06  郑州市豫龙镇第一中学</w:t>
            </w: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2000.09-2006.06  郑州职业技术学院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958" w:type="dxa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031" w:type="dxa"/>
            <w:gridSpan w:val="7"/>
            <w:vAlign w:val="top"/>
          </w:tcPr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2017年5月，被郑州职业技术学院评为“三好学生”；</w:t>
            </w: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2017年5月，荣获郑州职业技术学院“优秀学生干部”荣誉称号；</w:t>
            </w: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435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spacing w:line="440" w:lineRule="exact"/>
              <w:ind w:firstLine="1440" w:firstLineChars="600"/>
              <w:rPr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sz w:val="24"/>
              </w:rPr>
            </w:pPr>
            <w:r>
              <w:rPr>
                <w:sz w:val="24"/>
              </w:rPr>
              <w:t>盖  章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年  月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69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盖  章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月  日</w:t>
            </w:r>
          </w:p>
        </w:tc>
      </w:tr>
    </w:tbl>
    <w:p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注：此表</w:t>
      </w:r>
      <w:r>
        <w:rPr>
          <w:rFonts w:hint="eastAsia"/>
          <w:sz w:val="24"/>
          <w:szCs w:val="24"/>
          <w:lang w:eastAsia="zh-CN"/>
        </w:rPr>
        <w:t>交电子版，一寸免冠蓝底彩色照片，经审核后签章。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outlineLvl w:val="9"/>
        <w:rPr>
          <w:rFonts w:hint="eastAsia" w:ascii="宋体" w:hAnsi="宋体" w:cs="Times New Roman"/>
          <w:b/>
          <w:color w:val="000000"/>
          <w:sz w:val="24"/>
          <w:szCs w:val="24"/>
        </w:rPr>
        <w:sectPr>
          <w:pgSz w:w="11906" w:h="16838"/>
          <w:pgMar w:top="1587" w:right="1247" w:bottom="1587" w:left="1247" w:header="851" w:footer="992" w:gutter="0"/>
          <w:cols w:space="0" w:num="1"/>
          <w:rtlGutter w:val="0"/>
          <w:docGrid w:type="lines" w:linePitch="317" w:charSpace="0"/>
        </w:sectPr>
      </w:pP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ascii="宋体" w:hAnsi="宋体" w:cs="Times New Roman"/>
          <w:color w:val="00000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2017年青年马克思主义者培养工程暨大学生骨干培训班学员备案汇总表</w:t>
      </w:r>
    </w:p>
    <w:tbl>
      <w:tblPr>
        <w:tblStyle w:val="6"/>
        <w:tblW w:w="16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48"/>
        <w:gridCol w:w="1314"/>
        <w:gridCol w:w="720"/>
        <w:gridCol w:w="720"/>
        <w:gridCol w:w="1080"/>
        <w:gridCol w:w="1260"/>
        <w:gridCol w:w="2340"/>
        <w:gridCol w:w="2520"/>
        <w:gridCol w:w="1980"/>
        <w:gridCol w:w="1480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院（系）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   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   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培养级别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张一一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101901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1990.09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团员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建筑工程系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2016建筑工程技术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院学生会主席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院级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/系级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  <w:rPr>
          <w:rFonts w:hint="eastAsia" w:ascii="宋体" w:hAnsi="宋体" w:cs="Times New Roman"/>
          <w:b/>
          <w:bCs/>
          <w:color w:val="000000"/>
          <w:sz w:val="24"/>
          <w:szCs w:val="24"/>
        </w:rPr>
      </w:pPr>
    </w:p>
    <w:p>
      <w:pPr>
        <w:rPr>
          <w:color w:val="000000"/>
          <w:kern w:val="0"/>
          <w:sz w:val="24"/>
          <w:lang w:val="zh-CN"/>
        </w:rPr>
        <w:sectPr>
          <w:pgSz w:w="16838" w:h="11906" w:orient="landscape"/>
          <w:pgMar w:top="1474" w:right="1247" w:bottom="1247" w:left="1247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“青马工程”暨大学生骨干培训班学员须知</w:t>
      </w:r>
    </w:p>
    <w:p>
      <w:pPr>
        <w:rPr>
          <w:rFonts w:hint="eastAsia"/>
        </w:rPr>
      </w:pPr>
    </w:p>
    <w:p>
      <w:pPr>
        <w:pStyle w:val="2"/>
        <w:spacing w:before="0" w:after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为了保证培训班正常的教学、工作秩序，提高教学质量，遵循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有关精神，同时结合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工作实际，特制定以下规范和考核制度：</w:t>
      </w:r>
    </w:p>
    <w:p>
      <w:pPr>
        <w:pStyle w:val="2"/>
        <w:spacing w:before="0" w:after="0" w:line="360" w:lineRule="auto"/>
        <w:ind w:firstLine="624" w:firstLineChars="195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1.尊敬师长，团结同学，服从安排，不得高声喧哗。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2.保持良好的个人品德修养和文明形象，爱护公共财物和公共设施，保持教室清洁，不随地吐痰，不乱丢杂物，不得在教室内吸烟。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准时参加各项活动，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培训期间，提前10分钟到达培训地点，关闭手机等通讯工具，保持良好秩序。不迟到、不早退、不无故缺席。有事或有课必须提前请假，并将有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签字的假条交至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。无假条或事后补假条者一律视为缺席。凡有下列情况之一者，均取消学员资格，不给予结业证书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无故缺席1次以上者（含1次）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2)请假2次以上者（含2次）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3)迟到和早退达4次者（含4次）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(4)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各项考核若有负分者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(5</w:t>
      </w:r>
      <w:r>
        <w:rPr>
          <w:rFonts w:hint="eastAsia" w:ascii="仿宋_GB2312" w:hAnsi="仿宋_GB2312" w:eastAsia="仿宋_GB2312" w:cs="仿宋_GB2312"/>
          <w:sz w:val="32"/>
          <w:szCs w:val="32"/>
        </w:rPr>
        <w:t>)学习期间有违纪现象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4.参训期间所有参训学员必须听从负责老师的安排与指挥，不经许可，不得进行其它与培训无关活动。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.参加外出活动时请按时乘车，务必注意人身及财物安全；未经批准，禁止参加其他活动。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.所有参训学员在参训期间心理要尽量放松并积极主动参与各项活动，尽自己最大的努力完成各种培训项目。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若患有或曾经患有心脏疾病、心理失常、高血压、哮喘、急性传染病、腰颈椎病等易突发性疾病等不适宜培训的身体情况，将不被接受培训申请。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8.素质拓展培训应穿宽松长衣长裤，舒适的鞋，最好是旅游鞋、登山鞋；杜绝穿皮鞋，女士严禁穿裙子、高跟鞋。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.上课认真听讲，做好笔记，且在指定的时间内上交所布置的作业。成绩总分为100分，学员结业考核由“80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总考核成绩+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</w:t>
      </w:r>
      <w:r>
        <w:rPr>
          <w:rFonts w:hint="eastAsia" w:ascii="仿宋_GB2312" w:hAnsi="仿宋_GB2312" w:eastAsia="仿宋_GB2312" w:cs="仿宋_GB2312"/>
          <w:sz w:val="32"/>
          <w:szCs w:val="32"/>
        </w:rPr>
        <w:t>结业论文成绩”构成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.培训期满后，经考核，合格者颁发《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郑州职业技术学院“</w:t>
      </w:r>
      <w:r>
        <w:rPr>
          <w:rFonts w:hint="eastAsia" w:ascii="仿宋_GB2312" w:hAnsi="仿宋_GB2312" w:eastAsia="仿宋_GB2312" w:cs="仿宋_GB2312"/>
          <w:sz w:val="32"/>
          <w:szCs w:val="32"/>
        </w:rPr>
        <w:t>青马工程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”暨大学生骨干培训班</w:t>
      </w:r>
      <w:r>
        <w:rPr>
          <w:rFonts w:hint="eastAsia" w:ascii="仿宋_GB2312" w:hAnsi="仿宋_GB2312" w:eastAsia="仿宋_GB2312" w:cs="仿宋_GB2312"/>
          <w:sz w:val="32"/>
          <w:szCs w:val="32"/>
        </w:rPr>
        <w:t>结业证书》，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优秀者颁发《郑州职业技术学院“</w:t>
      </w:r>
      <w:r>
        <w:rPr>
          <w:rFonts w:hint="eastAsia" w:ascii="仿宋_GB2312" w:hAnsi="仿宋_GB2312" w:eastAsia="仿宋_GB2312" w:cs="仿宋_GB2312"/>
          <w:sz w:val="32"/>
          <w:szCs w:val="32"/>
        </w:rPr>
        <w:t>青马工程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”暨大学生骨干培训班优秀学员证书》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并载入档案。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 系 人：张  严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联系电话：0371-65002108 15038310802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联系地址：图文信息楼126房间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</w:p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“青马工程”暨大学生骨干培训班学员考评细则</w:t>
      </w:r>
    </w:p>
    <w:tbl>
      <w:tblPr>
        <w:tblStyle w:val="6"/>
        <w:tblW w:w="9165" w:type="dxa"/>
        <w:tblInd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4"/>
        <w:gridCol w:w="942"/>
        <w:gridCol w:w="942"/>
        <w:gridCol w:w="3987"/>
        <w:gridCol w:w="19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核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细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则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（占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0分</w:t>
            </w: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一级指标（考核项目）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二级指标（考评依据）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考评说明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出勤情况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30分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签到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分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满分15分，迟到一次扣5分（超过15分钟为旷课，取消学员资格）请假一次扣3分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依据签到签退情况判断学员是否迟到、早退或缺勤。考评委员以此为基本依据酌情打分。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签退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分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结束时按照要求签退者，该项优秀，满分。有签到无签退者为早退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，早退一次扣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听课审查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40分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感悟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20分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每次课一段心得感悟并署名，且按要求发送电子信息到考评委员处，不少于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300字，少一次减10分，有心得感悟但内容不合格酌情打分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考评委员依据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心得感悟和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课堂笔记各项指标对该项定性判断并酌情增减分数。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课堂笔记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20分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20分，每堂课均有笔记且内容详实，满分；每少一次减10分，内容不详实酌情打分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课堂表现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是否影响课堂秩序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Style w:val="9"/>
                <w:rFonts w:hint="eastAsia" w:ascii="宋体" w:hAnsi="宋体" w:eastAsia="宋体"/>
                <w:b/>
                <w:bCs/>
                <w:lang w:eastAsia="zh-CN"/>
              </w:rPr>
              <w:t>分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玩手机、扰乱课堂秩序被点名批评者一次扣2分。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大声喧哗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，严重违反课堂纪律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该项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，顶撞老师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取消学员资格。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该考核项目由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考核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委员在课时的不定时观察、记录后与小组成员协商完成。其中，若在课时出现重大违纪动作，取消其余所有打分项目并上报上级处理。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4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论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核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细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则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（占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期末结业论文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内容相结合；是否抄袭（字数不少于1500）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15-20分：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未出现抄袭现象且与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内容相结合者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，有自己的观点和感悟思考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10-15分：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未出现抄袭现象但与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内容结合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不紧密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5-10分：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出现抄袭现象在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0%以下者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lang w:val="en-US" w:eastAsia="zh-CN"/>
              </w:rPr>
              <w:t>5分以下（不含5分）</w:t>
            </w:r>
            <w:r>
              <w:rPr>
                <w:rStyle w:val="10"/>
                <w:rFonts w:hint="eastAsia" w:eastAsia="宋体"/>
                <w:lang w:eastAsia="zh-CN"/>
              </w:rPr>
              <w:t>：</w:t>
            </w:r>
            <w:r>
              <w:rPr>
                <w:rStyle w:val="10"/>
                <w:rFonts w:hint="default"/>
              </w:rPr>
              <w:t>出现抄袭现象在</w:t>
            </w:r>
            <w:r>
              <w:rPr>
                <w:rStyle w:val="10"/>
                <w:rFonts w:hint="eastAsia" w:eastAsia="宋体"/>
                <w:lang w:val="en-US" w:eastAsia="zh-CN"/>
              </w:rPr>
              <w:t>3</w:t>
            </w:r>
            <w:r>
              <w:rPr>
                <w:rStyle w:val="10"/>
                <w:rFonts w:hint="default"/>
              </w:rPr>
              <w:t>0%以上者，不予颁发结业证书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该项考核在于考察学员的思想素质，考核委员应严格按照考评说明进行考评。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/>
          <w:b w:val="0"/>
          <w:bCs w:val="0"/>
          <w:kern w:val="0"/>
          <w:sz w:val="24"/>
          <w:szCs w:val="24"/>
          <w:u w:val="none"/>
          <w:lang w:eastAsia="zh-CN"/>
        </w:rPr>
        <w:t>注：考评委员会由院学生会组织部和参与培训组织的学生干部组成。</w:t>
      </w:r>
    </w:p>
    <w:p>
      <w:pPr>
        <w:widowControl/>
        <w:spacing w:line="360" w:lineRule="auto"/>
        <w:jc w:val="left"/>
        <w:rPr>
          <w:rFonts w:hint="eastAsia" w:ascii="黑体" w:hAnsi="黑体" w:eastAsia="黑体"/>
          <w:b w:val="0"/>
          <w:bCs w:val="0"/>
          <w:kern w:val="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培训相关工作安排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auto"/>
          <w:lang w:val="en-US" w:eastAsia="zh-CN"/>
        </w:rPr>
        <w:t>1.考评委员会组成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组  长：张秋杰   15839788226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副组长：李鸿宇   18848882179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成  员：李刘培   15194683285     田晨枫   15239474181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翁振明   13643763796     王孟亚   13782426736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雷方斌   17337162713     刘芳萍   15237311912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董亚杰   18903944237     陈  雨   17630710875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巴筱晴雯 17625378718     郑雪妍   18438328947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徐凯英   17839906543     闫佳乐   15137798387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徐路通   13781596713     张海涛   15224973980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王  纪   18639700905     范玉龙   13782881316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2.培训</w:t>
      </w:r>
      <w:r>
        <w:rPr>
          <w:rFonts w:hint="eastAsia" w:ascii="黑体" w:hAnsi="黑体" w:eastAsia="黑体" w:cs="黑体"/>
          <w:sz w:val="28"/>
          <w:szCs w:val="28"/>
        </w:rPr>
        <w:t>心得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感悟递交流程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学员--组织负责--考评委员会--新媒体中心--筛选--发布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3.培训</w:t>
      </w:r>
      <w:r>
        <w:rPr>
          <w:rFonts w:hint="eastAsia" w:ascii="黑体" w:hAnsi="黑体" w:eastAsia="黑体" w:cs="黑体"/>
          <w:sz w:val="28"/>
          <w:szCs w:val="28"/>
        </w:rPr>
        <w:t>结业论文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递交流程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学员--电子版结业论文--组织负责人--网络查重--返回修改--合格---考评委员会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4.各学生组织负责人名单及联系方式</w:t>
      </w:r>
    </w:p>
    <w:tbl>
      <w:tblPr>
        <w:tblStyle w:val="7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005"/>
        <w:gridCol w:w="219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  织  名  称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院学生会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吴芝朴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15737158589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1398266814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院青年志愿者协会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沈青海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15713811595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2528363262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学生社团联合会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李方伟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17803878952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1214804829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新媒体中心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徐志强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15838117415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273634377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国旗班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孙弗朗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18625922126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3091911534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礼仪队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程瑞瑞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18736100063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1162149027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刘美琪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15238058667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1247568084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舞蹈队</w:t>
            </w:r>
          </w:p>
        </w:tc>
        <w:tc>
          <w:tcPr>
            <w:tcW w:w="2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巴伊凡 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15713693053</w:t>
            </w:r>
          </w:p>
        </w:tc>
        <w:tc>
          <w:tcPr>
            <w:tcW w:w="2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1035001878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type w:val="continuous"/>
      <w:pgSz w:w="11906" w:h="16838"/>
      <w:pgMar w:top="1247" w:right="1247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P Simplified">
    <w:panose1 w:val="020B0604020204020204"/>
    <w:charset w:val="00"/>
    <w:family w:val="auto"/>
    <w:pitch w:val="default"/>
    <w:sig w:usb0="A00002FF" w:usb1="5000205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FS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NBCDEE+E-BX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OBCDEE+E-BZ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QBCDEE+E-F1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HT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NBCDEE+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52126"/>
    <w:rsid w:val="35D7272B"/>
    <w:rsid w:val="4F952126"/>
    <w:rsid w:val="67AC4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3"/>
    <w:basedOn w:val="3"/>
    <w:uiPriority w:val="0"/>
    <w:rPr>
      <w:rFonts w:eastAsia="黑体"/>
      <w:sz w:val="30"/>
    </w:rPr>
  </w:style>
  <w:style w:type="character" w:customStyle="1" w:styleId="9">
    <w:name w:val="font41"/>
    <w:qFormat/>
    <w:uiPriority w:val="0"/>
    <w:rPr>
      <w:rFonts w:hint="eastAsia" w:ascii="黑体" w:eastAsia="黑体" w:cs="黑体"/>
      <w:b/>
      <w:color w:val="000000"/>
      <w:sz w:val="18"/>
      <w:szCs w:val="18"/>
      <w:u w:val="none"/>
    </w:rPr>
  </w:style>
  <w:style w:type="character" w:customStyle="1" w:styleId="10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2017-11-28T12:33:00Z</dcterms:created>
  <dc:creator>红色的叶</dc:creator>
  <cp:lastModifiedBy>红色的叶</cp:lastModifiedBy>
  <dcterms:modified xsi:type="dcterms:W3CDTF">2017-11-28T12:34:09Z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