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823"/>
        </w:tabs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市管干部操办婚丧喜庆事宜报告表</w:t>
      </w:r>
      <w:bookmarkEnd w:id="0"/>
    </w:p>
    <w:p>
      <w:pPr>
        <w:tabs>
          <w:tab w:val="left" w:pos="823"/>
        </w:tabs>
        <w:spacing w:line="2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500"/>
        <w:gridCol w:w="270"/>
        <w:gridCol w:w="465"/>
        <w:gridCol w:w="945"/>
        <w:gridCol w:w="195"/>
        <w:gridCol w:w="1050"/>
        <w:gridCol w:w="22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680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职务（职级）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操办事项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2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计划操办的时间、地点、动用交通工具数及来源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间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 点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动用交通工具数及来源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2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计划操办的规模、标准、预计开支（元）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办理规模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（桌数、人数）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预计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开支</w:t>
            </w:r>
          </w:p>
        </w:tc>
        <w:tc>
          <w:tcPr>
            <w:tcW w:w="195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  准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（含酒水）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720" w:firstLineChars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元/桌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计划邀请人员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范围及人数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其他需要说明的情况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ind w:firstLine="2400" w:firstLineChars="10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400" w:firstLineChars="10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400" w:firstLineChars="10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880" w:firstLineChars="12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880" w:firstLineChars="12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880" w:firstLineChars="12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2400" w:firstLineChars="10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党委主要负责人：</w:t>
            </w:r>
          </w:p>
          <w:p>
            <w:pPr>
              <w:tabs>
                <w:tab w:val="left" w:pos="823"/>
              </w:tabs>
              <w:ind w:firstLine="3840" w:firstLineChars="1600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4320" w:firstLineChars="18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5" w:type="dxa"/>
            <w:gridSpan w:val="10"/>
            <w:noWrap w:val="0"/>
            <w:vAlign w:val="top"/>
          </w:tcPr>
          <w:p>
            <w:pPr>
              <w:tabs>
                <w:tab w:val="left" w:pos="823"/>
              </w:tabs>
              <w:ind w:firstLine="480" w:firstLineChars="20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备注：该表填写时一式三份，开发区、区县（市）纪委监委、各派驻纪检监察组、高校纪委留存一份；报市纪委监委党风政风监督室二份。表格填写不下的，可另附材料说明。报告表与承诺书正反页打印。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mFiZjhhMmQ5ZTZjZjAyMGFlMTZlMDk4ZDMwNTMifQ=="/>
  </w:docVars>
  <w:rsids>
    <w:rsidRoot w:val="03D926B3"/>
    <w:rsid w:val="03D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2024-03-01T02:53:00Z</dcterms:created>
  <dc:creator>华山剑客</dc:creator>
  <cp:lastModifiedBy>华山剑客</cp:lastModifiedBy>
  <dcterms:modified xsi:type="dcterms:W3CDTF">2024-03-01T02:55:05Z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8CA44F13D4414FF7B0E414A9AB96B1D7_11</vt:lpwstr>
  </property>
</Properties>
</file>