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1：</w:t>
      </w:r>
    </w:p>
    <w:p>
      <w:pPr>
        <w:spacing w:before="140" w:line="212" w:lineRule="auto"/>
        <w:ind w:left="95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117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年河南省教育综合改革项目指南</w:t>
      </w: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新时代党委和政府教育工作评价改革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5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新时代学校评价改革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新时代教师评价改革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6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新时代学生评价改革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新时代用人评价改革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5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高校“三个调整优化 ”改革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高校人才自主培养能力改革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4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高校科技人才评价制度改革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7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学科建设质量监测与评价改革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6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多主体协同推进高校科技成果转化改革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8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有组织科研行为促进产学研用贯通的机制改革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6" w:line="300" w:lineRule="exact"/>
        <w:ind w:firstLine="620" w:firstLineChars="200"/>
        <w:jc w:val="left"/>
        <w:textAlignment w:val="baseline"/>
        <w:rPr>
          <w:rStyle w:val="7"/>
          <w:rFonts w:hint="eastAsia"/>
          <w:lang w:val="en-US" w:eastAsia="zh-CN"/>
        </w:rPr>
      </w:pPr>
      <w:r>
        <w:rPr>
          <w:rStyle w:val="7"/>
          <w:rFonts w:hint="eastAsia"/>
        </w:rPr>
        <w:t>高校与规上工业企业共建研发中心的绩效评价改革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“职教高考 ”制度改革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6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职业教育产教融合发展改革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中高职人才贯通培养机制改革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5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职普融通视域下综合高中发展改革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4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产科教融合视域下现场工程师培养模式改革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高考综合改革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新时代高质量教师教育体系建设改革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6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“教育家精神 ”引领下的教师队伍建设改革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教育国际合作与交流评价改革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中外合作办学质量保障及内部治理体系改革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新时代高校思政工作队伍建设改革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300" w:lineRule="exact"/>
        <w:ind w:firstLine="620" w:firstLineChars="200"/>
        <w:jc w:val="left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心理健康教育模式研究改革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300" w:lineRule="exact"/>
        <w:ind w:firstLine="620" w:firstLineChars="200"/>
        <w:jc w:val="left"/>
        <w:textAlignment w:val="baseline"/>
        <w:rPr>
          <w:rStyle w:val="7"/>
          <w:rFonts w:hint="eastAsia"/>
          <w:lang w:val="en-US" w:eastAsia="zh-CN"/>
        </w:rPr>
      </w:pPr>
      <w:r>
        <w:rPr>
          <w:rStyle w:val="7"/>
          <w:rFonts w:hint="eastAsia"/>
        </w:rPr>
        <w:t>乡村振兴人才培养模式改革</w:t>
      </w:r>
    </w:p>
    <w:p>
      <w:pPr>
        <w:spacing w:before="101" w:line="230" w:lineRule="auto"/>
        <w:rPr>
          <w:rFonts w:hint="eastAsia" w:ascii="微软雅黑" w:hAnsi="微软雅黑" w:eastAsia="微软雅黑" w:cs="微软雅黑"/>
          <w:spacing w:val="-1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1"/>
          <w:sz w:val="32"/>
          <w:szCs w:val="32"/>
          <w:lang w:val="en-US" w:eastAsia="zh-CN"/>
        </w:rPr>
        <w:t>附件2：</w:t>
      </w:r>
    </w:p>
    <w:p>
      <w:pPr>
        <w:spacing w:before="101" w:line="230" w:lineRule="auto"/>
        <w:ind w:firstLine="318" w:firstLineChars="100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2024</w:t>
      </w:r>
      <w:r>
        <w:rPr>
          <w:rFonts w:hint="eastAsia" w:ascii="微软雅黑" w:hAnsi="微软雅黑" w:eastAsia="微软雅黑" w:cs="微软雅黑"/>
          <w:spacing w:val="-1"/>
          <w:sz w:val="32"/>
          <w:szCs w:val="32"/>
          <w:lang w:val="en-US" w:eastAsia="zh-CN"/>
        </w:rPr>
        <w:t>年河南省教育综合改革重点项目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申报限额分配</w:t>
      </w:r>
    </w:p>
    <w:tbl>
      <w:tblPr>
        <w:tblStyle w:val="6"/>
        <w:tblW w:w="0" w:type="auto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二级学院名称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智能制造学院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自动化与物联网学院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财经与金融管理学院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生命健康学院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新材料工程学院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新能源汽车学院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信息工程与大数据学院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轨道交通工程学院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建筑与环境工程学院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电子商务学院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通识学院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体育学院</w:t>
            </w:r>
          </w:p>
        </w:tc>
        <w:tc>
          <w:tcPr>
            <w:tcW w:w="372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/>
    <w:p/>
    <w:p/>
    <w:p/>
    <w:p/>
    <w:p/>
    <w:p>
      <w:pPr>
        <w:pStyle w:val="2"/>
        <w:spacing w:line="221" w:lineRule="auto"/>
      </w:pPr>
    </w:p>
    <w:p>
      <w:pPr>
        <w:spacing w:line="221" w:lineRule="auto"/>
        <w:sectPr>
          <w:footerReference r:id="rId5" w:type="default"/>
          <w:pgSz w:w="11906" w:h="16838"/>
          <w:pgMar w:top="1431" w:right="1785" w:bottom="1925" w:left="1540" w:header="0" w:footer="1638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5"/>
          <w:sz w:val="31"/>
          <w:szCs w:val="31"/>
          <w:lang w:val="en-US" w:eastAsia="zh-CN"/>
        </w:rPr>
        <w:t>3：</w:t>
      </w:r>
    </w:p>
    <w:p>
      <w:pPr>
        <w:spacing w:before="155" w:line="212" w:lineRule="auto"/>
        <w:ind w:left="71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119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年河南省教育综合改革项目申报表</w:t>
      </w:r>
    </w:p>
    <w:p>
      <w:pPr>
        <w:spacing w:before="231" w:line="223" w:lineRule="auto"/>
        <w:ind w:left="88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11"/>
          <w:sz w:val="29"/>
          <w:szCs w:val="29"/>
        </w:rPr>
        <w:t>项目单位（公章</w:t>
      </w:r>
      <w:r>
        <w:rPr>
          <w:rFonts w:ascii="楷体" w:hAnsi="楷体" w:eastAsia="楷体" w:cs="楷体"/>
          <w:spacing w:val="-12"/>
          <w:sz w:val="29"/>
          <w:szCs w:val="29"/>
        </w:rPr>
        <w:t>）</w:t>
      </w:r>
      <w:r>
        <w:rPr>
          <w:rFonts w:ascii="楷体" w:hAnsi="楷体" w:eastAsia="楷体" w:cs="楷体"/>
          <w:spacing w:val="43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12"/>
          <w:sz w:val="29"/>
          <w:szCs w:val="29"/>
        </w:rPr>
        <w:t>：</w:t>
      </w:r>
      <w:r>
        <w:rPr>
          <w:rFonts w:ascii="楷体" w:hAnsi="楷体" w:eastAsia="楷体" w:cs="楷体"/>
          <w:spacing w:val="6"/>
          <w:sz w:val="29"/>
          <w:szCs w:val="29"/>
        </w:rPr>
        <w:t xml:space="preserve">                </w:t>
      </w:r>
      <w:r>
        <w:rPr>
          <w:rFonts w:ascii="楷体" w:hAnsi="楷体" w:eastAsia="楷体" w:cs="楷体"/>
          <w:spacing w:val="-11"/>
          <w:sz w:val="29"/>
          <w:szCs w:val="29"/>
        </w:rPr>
        <w:t>年</w:t>
      </w:r>
      <w:r>
        <w:rPr>
          <w:rFonts w:ascii="楷体" w:hAnsi="楷体" w:eastAsia="楷体" w:cs="楷体"/>
          <w:spacing w:val="16"/>
          <w:sz w:val="29"/>
          <w:szCs w:val="29"/>
        </w:rPr>
        <w:t xml:space="preserve">   </w:t>
      </w:r>
      <w:r>
        <w:rPr>
          <w:rFonts w:ascii="楷体" w:hAnsi="楷体" w:eastAsia="楷体" w:cs="楷体"/>
          <w:spacing w:val="-11"/>
          <w:sz w:val="29"/>
          <w:szCs w:val="29"/>
        </w:rPr>
        <w:t>月</w:t>
      </w:r>
      <w:r>
        <w:rPr>
          <w:rFonts w:ascii="楷体" w:hAnsi="楷体" w:eastAsia="楷体" w:cs="楷体"/>
          <w:spacing w:val="30"/>
          <w:sz w:val="29"/>
          <w:szCs w:val="29"/>
        </w:rPr>
        <w:t xml:space="preserve">   </w:t>
      </w:r>
      <w:r>
        <w:rPr>
          <w:rFonts w:ascii="楷体" w:hAnsi="楷体" w:eastAsia="楷体" w:cs="楷体"/>
          <w:spacing w:val="-11"/>
          <w:sz w:val="29"/>
          <w:szCs w:val="29"/>
        </w:rPr>
        <w:t>日</w:t>
      </w:r>
    </w:p>
    <w:p>
      <w:pPr>
        <w:spacing w:line="92" w:lineRule="exact"/>
      </w:pPr>
    </w:p>
    <w:tbl>
      <w:tblPr>
        <w:tblStyle w:val="8"/>
        <w:tblW w:w="8702" w:type="dxa"/>
        <w:tblInd w:w="1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758"/>
        <w:gridCol w:w="1860"/>
        <w:gridCol w:w="20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40" w:type="dxa"/>
            <w:vAlign w:val="top"/>
          </w:tcPr>
          <w:p>
            <w:pPr>
              <w:spacing w:before="92" w:line="216" w:lineRule="auto"/>
              <w:ind w:left="47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项目名称</w:t>
            </w:r>
          </w:p>
        </w:tc>
        <w:tc>
          <w:tcPr>
            <w:tcW w:w="666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040" w:type="dxa"/>
            <w:vAlign w:val="top"/>
          </w:tcPr>
          <w:p>
            <w:pPr>
              <w:spacing w:before="87" w:line="218" w:lineRule="auto"/>
              <w:ind w:left="1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所属指南题目</w:t>
            </w:r>
          </w:p>
        </w:tc>
        <w:tc>
          <w:tcPr>
            <w:tcW w:w="666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40" w:type="dxa"/>
            <w:vAlign w:val="top"/>
          </w:tcPr>
          <w:p>
            <w:pPr>
              <w:spacing w:before="87" w:line="218" w:lineRule="auto"/>
              <w:ind w:left="4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完成标志</w:t>
            </w:r>
          </w:p>
        </w:tc>
        <w:tc>
          <w:tcPr>
            <w:tcW w:w="666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40" w:type="dxa"/>
            <w:vAlign w:val="top"/>
          </w:tcPr>
          <w:p>
            <w:pPr>
              <w:spacing w:before="89" w:line="217" w:lineRule="auto"/>
              <w:ind w:left="4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牵头部门</w:t>
            </w:r>
          </w:p>
        </w:tc>
        <w:tc>
          <w:tcPr>
            <w:tcW w:w="2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89" w:line="219" w:lineRule="auto"/>
              <w:ind w:left="5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负责人</w:t>
            </w:r>
          </w:p>
        </w:tc>
        <w:tc>
          <w:tcPr>
            <w:tcW w:w="2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40" w:type="dxa"/>
            <w:vAlign w:val="top"/>
          </w:tcPr>
          <w:p>
            <w:pPr>
              <w:spacing w:before="88" w:line="219" w:lineRule="auto"/>
              <w:ind w:left="3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项目参与人</w:t>
            </w:r>
          </w:p>
        </w:tc>
        <w:tc>
          <w:tcPr>
            <w:tcW w:w="666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40" w:type="dxa"/>
            <w:vAlign w:val="top"/>
          </w:tcPr>
          <w:p>
            <w:pPr>
              <w:spacing w:before="87" w:line="220" w:lineRule="auto"/>
              <w:ind w:left="6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联系人</w:t>
            </w:r>
          </w:p>
        </w:tc>
        <w:tc>
          <w:tcPr>
            <w:tcW w:w="2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86" w:line="219" w:lineRule="auto"/>
              <w:ind w:left="3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联系方式</w:t>
            </w:r>
          </w:p>
        </w:tc>
        <w:tc>
          <w:tcPr>
            <w:tcW w:w="2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702" w:type="dxa"/>
            <w:gridSpan w:val="4"/>
            <w:vAlign w:val="top"/>
          </w:tcPr>
          <w:p>
            <w:pPr>
              <w:spacing w:before="88" w:line="218" w:lineRule="auto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一、改革背景（500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70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702" w:type="dxa"/>
            <w:gridSpan w:val="4"/>
            <w:vAlign w:val="top"/>
          </w:tcPr>
          <w:p>
            <w:pPr>
              <w:spacing w:before="88" w:line="216" w:lineRule="auto"/>
              <w:ind w:left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二、实施基础和条件保障（应注明是否列入学校重点工作）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870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702" w:type="dxa"/>
            <w:gridSpan w:val="4"/>
            <w:vAlign w:val="top"/>
          </w:tcPr>
          <w:p>
            <w:pPr>
              <w:spacing w:before="90" w:line="218" w:lineRule="auto"/>
              <w:ind w:left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三、预期目标和成果展现形式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870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702" w:type="dxa"/>
            <w:gridSpan w:val="4"/>
            <w:vAlign w:val="top"/>
          </w:tcPr>
          <w:p>
            <w:pPr>
              <w:spacing w:before="89" w:line="216" w:lineRule="auto"/>
              <w:ind w:left="1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四、总体工作进度安排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870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8"/>
          <w:pgMar w:top="1431" w:right="1360" w:bottom="1922" w:left="1561" w:header="0" w:footer="1638" w:gutter="0"/>
          <w:cols w:space="720" w:num="1"/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101" w:line="230" w:lineRule="auto"/>
        <w:ind w:left="288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2"/>
          <w:sz w:val="31"/>
          <w:szCs w:val="31"/>
          <w:lang w:val="en-US" w:eastAsia="zh-CN"/>
        </w:rPr>
        <w:t>4：</w:t>
      </w:r>
    </w:p>
    <w:p>
      <w:pPr>
        <w:spacing w:before="155" w:line="212" w:lineRule="auto"/>
        <w:ind w:left="251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11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年河南省教育综合改革项目信息汇总表</w:t>
      </w:r>
    </w:p>
    <w:p>
      <w:pPr>
        <w:spacing w:before="55"/>
      </w:pPr>
    </w:p>
    <w:p>
      <w:pPr>
        <w:spacing w:before="55"/>
      </w:pPr>
    </w:p>
    <w:tbl>
      <w:tblPr>
        <w:tblStyle w:val="8"/>
        <w:tblW w:w="134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2799"/>
        <w:gridCol w:w="3260"/>
        <w:gridCol w:w="3259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281" w:type="dxa"/>
            <w:vAlign w:val="top"/>
          </w:tcPr>
          <w:p>
            <w:pPr>
              <w:spacing w:before="284" w:line="224" w:lineRule="auto"/>
              <w:ind w:left="36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序号</w:t>
            </w:r>
          </w:p>
        </w:tc>
        <w:tc>
          <w:tcPr>
            <w:tcW w:w="2799" w:type="dxa"/>
            <w:vAlign w:val="top"/>
          </w:tcPr>
          <w:p>
            <w:pPr>
              <w:spacing w:before="285" w:line="222" w:lineRule="auto"/>
              <w:ind w:left="84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项目名称</w:t>
            </w:r>
          </w:p>
        </w:tc>
        <w:tc>
          <w:tcPr>
            <w:tcW w:w="3260" w:type="dxa"/>
            <w:vAlign w:val="top"/>
          </w:tcPr>
          <w:p>
            <w:pPr>
              <w:spacing w:before="285" w:line="222" w:lineRule="auto"/>
              <w:ind w:left="80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改革主要内容</w:t>
            </w:r>
          </w:p>
        </w:tc>
        <w:tc>
          <w:tcPr>
            <w:tcW w:w="3259" w:type="dxa"/>
            <w:vAlign w:val="top"/>
          </w:tcPr>
          <w:p>
            <w:pPr>
              <w:spacing w:before="284" w:line="222" w:lineRule="auto"/>
              <w:ind w:left="107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完成标志</w:t>
            </w:r>
          </w:p>
        </w:tc>
        <w:tc>
          <w:tcPr>
            <w:tcW w:w="2838" w:type="dxa"/>
            <w:vAlign w:val="top"/>
          </w:tcPr>
          <w:p>
            <w:pPr>
              <w:spacing w:before="285" w:line="222" w:lineRule="auto"/>
              <w:ind w:left="31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预计成果形成时间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81" w:type="dxa"/>
            <w:vAlign w:val="top"/>
          </w:tcPr>
          <w:p>
            <w:pPr>
              <w:spacing w:before="330" w:line="180" w:lineRule="auto"/>
              <w:ind w:left="5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799" w:type="dxa"/>
            <w:vAlign w:val="top"/>
          </w:tcPr>
          <w:p>
            <w:pPr>
              <w:pStyle w:val="9"/>
            </w:pPr>
          </w:p>
        </w:tc>
        <w:tc>
          <w:tcPr>
            <w:tcW w:w="3260" w:type="dxa"/>
            <w:vAlign w:val="top"/>
          </w:tcPr>
          <w:p>
            <w:pPr>
              <w:pStyle w:val="9"/>
            </w:pPr>
          </w:p>
        </w:tc>
        <w:tc>
          <w:tcPr>
            <w:tcW w:w="3259" w:type="dxa"/>
            <w:vAlign w:val="top"/>
          </w:tcPr>
          <w:p>
            <w:pPr>
              <w:pStyle w:val="9"/>
            </w:pPr>
          </w:p>
        </w:tc>
        <w:tc>
          <w:tcPr>
            <w:tcW w:w="2838" w:type="dxa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281" w:type="dxa"/>
            <w:vAlign w:val="top"/>
          </w:tcPr>
          <w:p>
            <w:pPr>
              <w:pStyle w:val="9"/>
              <w:spacing w:line="284" w:lineRule="auto"/>
            </w:pPr>
          </w:p>
          <w:p>
            <w:pPr>
              <w:spacing w:before="91" w:line="179" w:lineRule="auto"/>
              <w:ind w:left="5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799" w:type="dxa"/>
            <w:vAlign w:val="top"/>
          </w:tcPr>
          <w:p>
            <w:pPr>
              <w:pStyle w:val="9"/>
            </w:pPr>
          </w:p>
        </w:tc>
        <w:tc>
          <w:tcPr>
            <w:tcW w:w="3260" w:type="dxa"/>
            <w:vAlign w:val="top"/>
          </w:tcPr>
          <w:p>
            <w:pPr>
              <w:pStyle w:val="9"/>
            </w:pPr>
          </w:p>
        </w:tc>
        <w:tc>
          <w:tcPr>
            <w:tcW w:w="3259" w:type="dxa"/>
            <w:vAlign w:val="top"/>
          </w:tcPr>
          <w:p>
            <w:pPr>
              <w:pStyle w:val="9"/>
            </w:pPr>
          </w:p>
        </w:tc>
        <w:tc>
          <w:tcPr>
            <w:tcW w:w="2838" w:type="dxa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81" w:type="dxa"/>
            <w:vAlign w:val="top"/>
          </w:tcPr>
          <w:p>
            <w:pPr>
              <w:pStyle w:val="9"/>
              <w:spacing w:line="283" w:lineRule="auto"/>
            </w:pPr>
          </w:p>
          <w:p>
            <w:pPr>
              <w:spacing w:before="91" w:line="179" w:lineRule="auto"/>
              <w:ind w:left="5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799" w:type="dxa"/>
            <w:vAlign w:val="top"/>
          </w:tcPr>
          <w:p>
            <w:pPr>
              <w:pStyle w:val="9"/>
            </w:pPr>
          </w:p>
        </w:tc>
        <w:tc>
          <w:tcPr>
            <w:tcW w:w="3260" w:type="dxa"/>
            <w:vAlign w:val="top"/>
          </w:tcPr>
          <w:p>
            <w:pPr>
              <w:pStyle w:val="9"/>
            </w:pPr>
          </w:p>
        </w:tc>
        <w:tc>
          <w:tcPr>
            <w:tcW w:w="3259" w:type="dxa"/>
            <w:vAlign w:val="top"/>
          </w:tcPr>
          <w:p>
            <w:pPr>
              <w:pStyle w:val="9"/>
            </w:pPr>
          </w:p>
        </w:tc>
        <w:tc>
          <w:tcPr>
            <w:tcW w:w="2838" w:type="dxa"/>
            <w:vAlign w:val="top"/>
          </w:tcPr>
          <w:p>
            <w:pPr>
              <w:pStyle w:val="9"/>
            </w:pPr>
          </w:p>
        </w:tc>
      </w:tr>
    </w:tbl>
    <w:p>
      <w:pPr>
        <w:rPr>
          <w:rFonts w:ascii="Arial"/>
          <w:sz w:val="21"/>
        </w:rPr>
      </w:pPr>
    </w:p>
    <w:p>
      <w:pPr>
        <w:spacing w:line="183" w:lineRule="exact"/>
      </w:pPr>
    </w:p>
    <w:p>
      <w:pPr>
        <w:spacing w:line="183" w:lineRule="exact"/>
        <w:sectPr>
          <w:footerReference r:id="rId7" w:type="default"/>
          <w:pgSz w:w="16838" w:h="11906"/>
          <w:pgMar w:top="1011" w:right="2010" w:bottom="1925" w:left="1385" w:header="0" w:footer="1638" w:gutter="0"/>
          <w:cols w:equalWidth="0" w:num="1">
            <w:col w:w="13443"/>
          </w:cols>
        </w:sectPr>
      </w:pPr>
    </w:p>
    <w:p>
      <w:pPr>
        <w:spacing w:before="55" w:line="473" w:lineRule="exact"/>
        <w:ind w:left="555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position w:val="14"/>
          <w:sz w:val="28"/>
          <w:szCs w:val="28"/>
        </w:rPr>
        <w:t>填表</w:t>
      </w:r>
      <w:r>
        <w:rPr>
          <w:rFonts w:hint="eastAsia" w:ascii="楷体" w:hAnsi="楷体" w:eastAsia="楷体" w:cs="楷体"/>
          <w:spacing w:val="-4"/>
          <w:position w:val="14"/>
          <w:sz w:val="28"/>
          <w:szCs w:val="28"/>
          <w:lang w:val="en-US" w:eastAsia="zh-CN"/>
        </w:rPr>
        <w:t>二级学院</w:t>
      </w:r>
      <w:r>
        <w:rPr>
          <w:rFonts w:ascii="楷体" w:hAnsi="楷体" w:eastAsia="楷体" w:cs="楷体"/>
          <w:spacing w:val="-3"/>
          <w:position w:val="14"/>
          <w:sz w:val="28"/>
          <w:szCs w:val="28"/>
        </w:rPr>
        <w:t>：（</w:t>
      </w:r>
      <w:r>
        <w:rPr>
          <w:rFonts w:ascii="楷体" w:hAnsi="楷体" w:eastAsia="楷体" w:cs="楷体"/>
          <w:spacing w:val="-4"/>
          <w:position w:val="14"/>
          <w:sz w:val="28"/>
          <w:szCs w:val="28"/>
        </w:rPr>
        <w:t>公章）</w:t>
      </w:r>
    </w:p>
    <w:p>
      <w:pPr>
        <w:spacing w:before="1" w:line="184" w:lineRule="auto"/>
        <w:ind w:left="552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pacing w:val="-6"/>
          <w:sz w:val="28"/>
          <w:szCs w:val="28"/>
          <w:lang w:val="en-US" w:eastAsia="zh-CN"/>
        </w:rPr>
        <w:t>所属二级学院院长</w:t>
      </w:r>
      <w:r>
        <w:rPr>
          <w:rFonts w:ascii="楷体" w:hAnsi="楷体" w:eastAsia="楷体" w:cs="楷体"/>
          <w:spacing w:val="-6"/>
          <w:sz w:val="28"/>
          <w:szCs w:val="2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473" w:lineRule="exact"/>
        <w:ind w:left="6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3"/>
          <w:position w:val="14"/>
          <w:sz w:val="28"/>
          <w:szCs w:val="28"/>
        </w:rPr>
        <w:t>填表时间：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217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7"/>
          <w:sz w:val="28"/>
          <w:szCs w:val="28"/>
        </w:rPr>
        <w:t>2024</w:t>
      </w:r>
      <w:r>
        <w:rPr>
          <w:rFonts w:ascii="楷体" w:hAnsi="楷体" w:eastAsia="楷体" w:cs="楷体"/>
          <w:spacing w:val="-52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7"/>
          <w:sz w:val="28"/>
          <w:szCs w:val="28"/>
        </w:rPr>
        <w:t>年</w:t>
      </w:r>
      <w:r>
        <w:rPr>
          <w:rFonts w:ascii="楷体" w:hAnsi="楷体" w:eastAsia="楷体" w:cs="楷体"/>
          <w:spacing w:val="8"/>
          <w:sz w:val="28"/>
          <w:szCs w:val="28"/>
        </w:rPr>
        <w:t xml:space="preserve">   </w:t>
      </w:r>
      <w:r>
        <w:rPr>
          <w:rFonts w:ascii="楷体" w:hAnsi="楷体" w:eastAsia="楷体" w:cs="楷体"/>
          <w:spacing w:val="-7"/>
          <w:sz w:val="28"/>
          <w:szCs w:val="28"/>
        </w:rPr>
        <w:t>月</w:t>
      </w:r>
      <w:r>
        <w:rPr>
          <w:rFonts w:ascii="楷体" w:hAnsi="楷体" w:eastAsia="楷体" w:cs="楷体"/>
          <w:spacing w:val="35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-7"/>
          <w:sz w:val="28"/>
          <w:szCs w:val="28"/>
        </w:rPr>
        <w:t>日</w:t>
      </w:r>
    </w:p>
    <w:p>
      <w:pPr>
        <w:spacing w:line="217" w:lineRule="auto"/>
        <w:rPr>
          <w:rFonts w:ascii="楷体" w:hAnsi="楷体" w:eastAsia="楷体" w:cs="楷体"/>
          <w:sz w:val="28"/>
          <w:szCs w:val="28"/>
        </w:rPr>
        <w:sectPr>
          <w:type w:val="continuous"/>
          <w:pgSz w:w="16838" w:h="11906"/>
          <w:pgMar w:top="1011" w:right="2010" w:bottom="1925" w:left="1385" w:header="0" w:footer="1638" w:gutter="0"/>
          <w:cols w:equalWidth="0" w:num="3">
            <w:col w:w="8021" w:space="100"/>
            <w:col w:w="1583" w:space="100"/>
            <w:col w:w="3640"/>
          </w:cols>
        </w:sectPr>
      </w:pPr>
    </w:p>
    <w:p>
      <w:pPr>
        <w:spacing w:line="425" w:lineRule="auto"/>
        <w:rPr>
          <w:rFonts w:ascii="Arial"/>
          <w:sz w:val="21"/>
        </w:rPr>
      </w:pPr>
    </w:p>
    <w:p>
      <w:pPr>
        <w:spacing w:before="75" w:line="230" w:lineRule="auto"/>
        <w:ind w:left="262" w:right="238" w:firstLine="491"/>
        <w:jc w:val="both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9"/>
          <w:sz w:val="23"/>
          <w:szCs w:val="23"/>
        </w:rPr>
        <w:t>填表注意事项：1.申报开展的综合改革项目以试点实施的单体项目为主；2.填报的项目须能够形成明确的</w:t>
      </w:r>
      <w:r>
        <w:rPr>
          <w:rFonts w:ascii="楷体" w:hAnsi="楷体" w:eastAsia="楷体" w:cs="楷体"/>
          <w:spacing w:val="8"/>
          <w:sz w:val="23"/>
          <w:szCs w:val="23"/>
        </w:rPr>
        <w:t>改革成果；3.</w:t>
      </w:r>
      <w:r>
        <w:rPr>
          <w:rFonts w:ascii="楷体" w:hAnsi="楷体" w:eastAsia="楷体" w:cs="楷体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8"/>
          <w:sz w:val="23"/>
          <w:szCs w:val="23"/>
        </w:rPr>
        <w:t>预计成果形成时间最迟为</w:t>
      </w:r>
      <w:r>
        <w:rPr>
          <w:rFonts w:ascii="楷体" w:hAnsi="楷体" w:eastAsia="楷体" w:cs="楷体"/>
          <w:spacing w:val="-48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8"/>
          <w:sz w:val="23"/>
          <w:szCs w:val="23"/>
        </w:rPr>
        <w:t>2024</w:t>
      </w:r>
      <w:r>
        <w:rPr>
          <w:rFonts w:ascii="楷体" w:hAnsi="楷体" w:eastAsia="楷体" w:cs="楷体"/>
          <w:spacing w:val="-42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8"/>
          <w:sz w:val="23"/>
          <w:szCs w:val="23"/>
        </w:rPr>
        <w:t>年</w:t>
      </w:r>
      <w:r>
        <w:rPr>
          <w:rFonts w:ascii="楷体" w:hAnsi="楷体" w:eastAsia="楷体" w:cs="楷体"/>
          <w:spacing w:val="-34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8"/>
          <w:sz w:val="23"/>
          <w:szCs w:val="23"/>
        </w:rPr>
        <w:t>12</w:t>
      </w:r>
      <w:r>
        <w:rPr>
          <w:rFonts w:ascii="楷体" w:hAnsi="楷体" w:eastAsia="楷体" w:cs="楷体"/>
          <w:spacing w:val="-34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8"/>
          <w:sz w:val="23"/>
          <w:szCs w:val="23"/>
        </w:rPr>
        <w:t>月底前；4.预期成果可为出台的相关文件、形成具有推广价值的改革</w:t>
      </w:r>
      <w:r>
        <w:rPr>
          <w:rFonts w:ascii="楷体" w:hAnsi="楷体" w:eastAsia="楷体" w:cs="楷体"/>
          <w:spacing w:val="7"/>
          <w:sz w:val="23"/>
          <w:szCs w:val="23"/>
        </w:rPr>
        <w:t>经验、提高管理工</w:t>
      </w:r>
      <w:r>
        <w:rPr>
          <w:rFonts w:ascii="楷体" w:hAnsi="楷体" w:eastAsia="楷体" w:cs="楷体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9"/>
          <w:sz w:val="23"/>
          <w:szCs w:val="23"/>
        </w:rPr>
        <w:t>作效率等，完成标志一般为出台改革文件、印发实施方案等。</w:t>
      </w:r>
    </w:p>
    <w:sectPr>
      <w:type w:val="continuous"/>
      <w:pgSz w:w="16838" w:h="11906"/>
      <w:pgMar w:top="1011" w:right="2010" w:bottom="1925" w:left="1385" w:header="0" w:footer="1638" w:gutter="0"/>
      <w:cols w:equalWidth="0" w:num="1">
        <w:col w:w="134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rPr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jc w:val="right"/>
      <w:rPr>
        <w:sz w:val="29"/>
        <w:szCs w:val="29"/>
      </w:rPr>
    </w:pPr>
    <w:r>
      <w:rPr>
        <w:spacing w:val="-4"/>
        <w:sz w:val="29"/>
        <w:szCs w:val="29"/>
      </w:rPr>
      <w:t>—</w:t>
    </w:r>
    <w:r>
      <w:rPr>
        <w:spacing w:val="23"/>
        <w:sz w:val="29"/>
        <w:szCs w:val="29"/>
      </w:rPr>
      <w:t xml:space="preserve"> </w:t>
    </w:r>
    <w:r>
      <w:rPr>
        <w:spacing w:val="-4"/>
        <w:sz w:val="29"/>
        <w:szCs w:val="29"/>
      </w:rPr>
      <w:t>7</w:t>
    </w:r>
    <w:r>
      <w:rPr>
        <w:spacing w:val="14"/>
        <w:sz w:val="29"/>
        <w:szCs w:val="29"/>
      </w:rPr>
      <w:t xml:space="preserve"> </w:t>
    </w:r>
    <w:r>
      <w:rPr>
        <w:spacing w:val="-4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ind w:left="268"/>
      <w:rPr>
        <w:sz w:val="29"/>
        <w:szCs w:val="29"/>
      </w:rPr>
    </w:pPr>
    <w:r>
      <w:rPr>
        <w:spacing w:val="-2"/>
        <w:sz w:val="29"/>
        <w:szCs w:val="29"/>
      </w:rPr>
      <w:t>—</w:t>
    </w:r>
    <w:r>
      <w:rPr>
        <w:spacing w:val="15"/>
        <w:sz w:val="29"/>
        <w:szCs w:val="29"/>
      </w:rPr>
      <w:t xml:space="preserve"> </w:t>
    </w:r>
    <w:r>
      <w:rPr>
        <w:spacing w:val="-2"/>
        <w:sz w:val="29"/>
        <w:szCs w:val="29"/>
      </w:rPr>
      <w:t>8</w:t>
    </w:r>
    <w:r>
      <w:rPr>
        <w:spacing w:val="14"/>
        <w:sz w:val="29"/>
        <w:szCs w:val="29"/>
      </w:rPr>
      <w:t xml:space="preserve"> </w:t>
    </w:r>
    <w:r>
      <w:rPr>
        <w:spacing w:val="-2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01A1A58"/>
    <w:rsid w:val="0B507854"/>
    <w:rsid w:val="13F21748"/>
    <w:rsid w:val="37BE4DD5"/>
    <w:rsid w:val="41AB6C30"/>
    <w:rsid w:val="488C6E00"/>
    <w:rsid w:val="5D525F29"/>
    <w:rsid w:val="77AC3622"/>
    <w:rsid w:val="7AB27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"/>
    <w:basedOn w:val="2"/>
    <w:qFormat/>
    <w:uiPriority w:val="99"/>
    <w:pPr>
      <w:widowControl/>
      <w:spacing w:line="480" w:lineRule="exact"/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Office_11.8.2.12094_F1E327BC-269C-435d-A152-05C5408002CA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2024-01-31T16:30:00Z</dcterms:created>
  <dc:creator>文印员</dc:creator>
  <cp:lastModifiedBy>火热的冰</cp:lastModifiedBy>
  <dcterms:modified xsi:type="dcterms:W3CDTF">2024-02-05T06:43:56Z</dcterms:modified>
  <dc:title>教办发规〔2019〕476号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2024-02-05T12:15:26Z</vt:filetime>
  </property>
  <property fmtid="{D5CDD505-2E9C-101B-9397-08002B2CF9AE}" pid="4" name="KSOProductBuildVer">
    <vt:lpwstr>2052-11.8.2.12094</vt:lpwstr>
  </property>
  <property fmtid="{D5CDD505-2E9C-101B-9397-08002B2CF9AE}" pid="5" name="ICV">
    <vt:lpwstr>A2D867BE3CB340C0AAEC27B64A7D66ED</vt:lpwstr>
  </property>
</Properties>
</file>